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BA80" w14:textId="77777777" w:rsidR="00991800" w:rsidRPr="00C354F5" w:rsidRDefault="00991800" w:rsidP="00991800">
      <w:pPr>
        <w:tabs>
          <w:tab w:val="left" w:pos="6840"/>
        </w:tabs>
        <w:rPr>
          <w:rFonts w:ascii="Bookman Old Style" w:hAnsi="Bookman Old Style"/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991800" w:rsidRPr="007D6BED" w14:paraId="4DD94367" w14:textId="77777777" w:rsidTr="0018383E">
        <w:tc>
          <w:tcPr>
            <w:tcW w:w="9810" w:type="dxa"/>
            <w:shd w:val="clear" w:color="auto" w:fill="auto"/>
          </w:tcPr>
          <w:p w14:paraId="5D42A461" w14:textId="5D124147" w:rsidR="00991800" w:rsidRPr="007D6BED" w:rsidRDefault="00613A96" w:rsidP="00BC385C">
            <w:pPr>
              <w:tabs>
                <w:tab w:val="left" w:pos="4200"/>
              </w:tabs>
              <w:jc w:val="right"/>
              <w:rPr>
                <w:b/>
                <w:bCs/>
                <w:i/>
                <w:lang w:val="ro-RO"/>
              </w:rPr>
            </w:pPr>
            <w:r>
              <w:rPr>
                <w:b/>
                <w:bCs/>
                <w:i/>
                <w:lang w:val="ro-RO"/>
              </w:rPr>
              <w:t>Prenume</w:t>
            </w:r>
            <w:r w:rsidR="00991800" w:rsidRPr="007D6BED">
              <w:rPr>
                <w:b/>
                <w:bCs/>
                <w:i/>
                <w:lang w:val="ro-RO"/>
              </w:rPr>
              <w:t xml:space="preserve"> N</w:t>
            </w:r>
            <w:r>
              <w:rPr>
                <w:b/>
                <w:bCs/>
                <w:i/>
                <w:lang w:val="ro-RO"/>
              </w:rPr>
              <w:t>UME</w:t>
            </w:r>
          </w:p>
          <w:p w14:paraId="60A8FC05" w14:textId="7C049C86" w:rsidR="00991800" w:rsidRPr="007D6BED" w:rsidRDefault="00991800" w:rsidP="00BC385C">
            <w:pPr>
              <w:tabs>
                <w:tab w:val="left" w:pos="6840"/>
              </w:tabs>
              <w:jc w:val="right"/>
              <w:rPr>
                <w:b/>
                <w:i/>
              </w:rPr>
            </w:pPr>
            <w:r w:rsidRPr="007D6BED">
              <w:rPr>
                <w:b/>
                <w:i/>
                <w:sz w:val="22"/>
                <w:szCs w:val="22"/>
                <w:lang w:val="ro-RO"/>
              </w:rPr>
              <w:t>A</w:t>
            </w:r>
            <w:r w:rsidR="00613A96">
              <w:rPr>
                <w:b/>
                <w:i/>
                <w:sz w:val="22"/>
                <w:szCs w:val="22"/>
                <w:lang w:val="ro-RO"/>
              </w:rPr>
              <w:t>filiere</w:t>
            </w:r>
          </w:p>
        </w:tc>
      </w:tr>
    </w:tbl>
    <w:p w14:paraId="22FB9C5D" w14:textId="77777777" w:rsidR="00991800" w:rsidRPr="00E50689" w:rsidRDefault="00991800" w:rsidP="00991800">
      <w:pPr>
        <w:tabs>
          <w:tab w:val="left" w:pos="4200"/>
        </w:tabs>
        <w:jc w:val="center"/>
        <w:rPr>
          <w:b/>
          <w:caps/>
          <w:lang w:eastAsia="ru-RU"/>
        </w:rPr>
      </w:pPr>
    </w:p>
    <w:p w14:paraId="29AA5C60" w14:textId="07774C90" w:rsidR="00991800" w:rsidRPr="00E50689" w:rsidRDefault="00991800" w:rsidP="00991800">
      <w:pPr>
        <w:jc w:val="center"/>
        <w:rPr>
          <w:b/>
          <w:caps/>
        </w:rPr>
      </w:pPr>
      <w:r>
        <w:rPr>
          <w:b/>
          <w:caps/>
        </w:rPr>
        <w:t>TITL</w:t>
      </w:r>
      <w:r w:rsidR="00613A96">
        <w:rPr>
          <w:b/>
          <w:caps/>
        </w:rPr>
        <w:t>U</w:t>
      </w:r>
    </w:p>
    <w:p w14:paraId="07A69862" w14:textId="77777777" w:rsidR="00991800" w:rsidRPr="00E50689" w:rsidRDefault="00991800" w:rsidP="00991800">
      <w:pPr>
        <w:tabs>
          <w:tab w:val="left" w:pos="6840"/>
        </w:tabs>
        <w:rPr>
          <w:rFonts w:ascii="Bookman Old Style" w:hAnsi="Bookman Old Style"/>
          <w:b/>
          <w:caps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8010"/>
      </w:tblGrid>
      <w:tr w:rsidR="00991800" w:rsidRPr="007D6BED" w14:paraId="041632FA" w14:textId="77777777" w:rsidTr="0018383E">
        <w:tc>
          <w:tcPr>
            <w:tcW w:w="1795" w:type="dxa"/>
            <w:shd w:val="clear" w:color="auto" w:fill="auto"/>
          </w:tcPr>
          <w:p w14:paraId="1D30A259" w14:textId="77777777" w:rsidR="00991800" w:rsidRPr="007D6BED" w:rsidRDefault="00991800" w:rsidP="00BC385C">
            <w:pPr>
              <w:tabs>
                <w:tab w:val="left" w:pos="4200"/>
              </w:tabs>
              <w:jc w:val="both"/>
              <w:rPr>
                <w:b/>
                <w:sz w:val="22"/>
                <w:szCs w:val="22"/>
              </w:rPr>
            </w:pPr>
            <w:r w:rsidRPr="007D6BED">
              <w:rPr>
                <w:b/>
                <w:sz w:val="22"/>
                <w:szCs w:val="22"/>
              </w:rPr>
              <w:t>Abstract:</w:t>
            </w:r>
          </w:p>
        </w:tc>
        <w:tc>
          <w:tcPr>
            <w:tcW w:w="8010" w:type="dxa"/>
            <w:shd w:val="clear" w:color="auto" w:fill="auto"/>
          </w:tcPr>
          <w:p w14:paraId="6DD0F364" w14:textId="77777777" w:rsidR="00991800" w:rsidRPr="007D6BED" w:rsidRDefault="00991800" w:rsidP="00BC385C">
            <w:pPr>
              <w:tabs>
                <w:tab w:val="left" w:pos="4200"/>
              </w:tabs>
              <w:jc w:val="both"/>
              <w:rPr>
                <w:i/>
                <w:sz w:val="22"/>
                <w:szCs w:val="22"/>
              </w:rPr>
            </w:pPr>
            <w:r w:rsidRPr="007D6BED">
              <w:rPr>
                <w:i/>
                <w:sz w:val="22"/>
                <w:szCs w:val="22"/>
              </w:rPr>
              <w:t>Text, text, text, text, text, text, text, text, text, text, text, text, text, text, text, text…</w:t>
            </w:r>
          </w:p>
        </w:tc>
      </w:tr>
      <w:tr w:rsidR="00991800" w:rsidRPr="007D6BED" w14:paraId="5C22643A" w14:textId="77777777" w:rsidTr="0018383E">
        <w:tc>
          <w:tcPr>
            <w:tcW w:w="1795" w:type="dxa"/>
            <w:shd w:val="clear" w:color="auto" w:fill="auto"/>
          </w:tcPr>
          <w:p w14:paraId="62AE46CF" w14:textId="45B63C24" w:rsidR="00991800" w:rsidRPr="007D6BED" w:rsidRDefault="00613A96" w:rsidP="00BC385C">
            <w:pPr>
              <w:tabs>
                <w:tab w:val="left" w:pos="4200"/>
              </w:tabs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Cuvinte-cheie</w:t>
            </w:r>
            <w:proofErr w:type="spellEnd"/>
            <w:r w:rsidR="00991800" w:rsidRPr="007D6BE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10" w:type="dxa"/>
            <w:shd w:val="clear" w:color="auto" w:fill="auto"/>
          </w:tcPr>
          <w:p w14:paraId="52DF508F" w14:textId="77777777" w:rsidR="00991800" w:rsidRPr="007D6BED" w:rsidRDefault="00991800" w:rsidP="00BC385C">
            <w:pPr>
              <w:rPr>
                <w:b/>
                <w:sz w:val="22"/>
                <w:szCs w:val="22"/>
              </w:rPr>
            </w:pPr>
            <w:r w:rsidRPr="007D6BED">
              <w:rPr>
                <w:b/>
                <w:iCs/>
                <w:sz w:val="22"/>
                <w:szCs w:val="22"/>
                <w:lang w:val="en-GB"/>
              </w:rPr>
              <w:t xml:space="preserve">Keyword; keyword; </w:t>
            </w:r>
            <w:r w:rsidRPr="007D6BED">
              <w:rPr>
                <w:b/>
                <w:sz w:val="22"/>
                <w:szCs w:val="22"/>
              </w:rPr>
              <w:t>keyword …</w:t>
            </w:r>
          </w:p>
        </w:tc>
      </w:tr>
      <w:tr w:rsidR="00991800" w:rsidRPr="007D6BED" w14:paraId="6E68C434" w14:textId="77777777" w:rsidTr="0018383E">
        <w:tc>
          <w:tcPr>
            <w:tcW w:w="1795" w:type="dxa"/>
            <w:shd w:val="clear" w:color="auto" w:fill="auto"/>
          </w:tcPr>
          <w:p w14:paraId="2E6BDC97" w14:textId="7B2E193A" w:rsidR="00991800" w:rsidRPr="007D6BED" w:rsidRDefault="00991800" w:rsidP="00BC385C">
            <w:pPr>
              <w:tabs>
                <w:tab w:val="left" w:pos="4200"/>
              </w:tabs>
              <w:jc w:val="both"/>
              <w:rPr>
                <w:b/>
                <w:sz w:val="22"/>
                <w:szCs w:val="22"/>
              </w:rPr>
            </w:pPr>
            <w:r w:rsidRPr="007D6BED">
              <w:rPr>
                <w:b/>
                <w:sz w:val="22"/>
                <w:szCs w:val="22"/>
              </w:rPr>
              <w:t>Contact:</w:t>
            </w:r>
          </w:p>
        </w:tc>
        <w:tc>
          <w:tcPr>
            <w:tcW w:w="8010" w:type="dxa"/>
            <w:shd w:val="clear" w:color="auto" w:fill="auto"/>
          </w:tcPr>
          <w:p w14:paraId="7AFA4652" w14:textId="77777777" w:rsidR="00991800" w:rsidRPr="007D6BED" w:rsidRDefault="00991800" w:rsidP="00BC385C">
            <w:pPr>
              <w:tabs>
                <w:tab w:val="left" w:pos="4200"/>
              </w:tabs>
              <w:rPr>
                <w:sz w:val="22"/>
                <w:szCs w:val="22"/>
              </w:rPr>
            </w:pPr>
            <w:r w:rsidRPr="007D6BED">
              <w:rPr>
                <w:sz w:val="22"/>
                <w:szCs w:val="22"/>
              </w:rPr>
              <w:t xml:space="preserve">E-mail: </w:t>
            </w:r>
          </w:p>
        </w:tc>
      </w:tr>
      <w:tr w:rsidR="00991800" w:rsidRPr="007D6BED" w14:paraId="52780843" w14:textId="77777777" w:rsidTr="0018383E">
        <w:tc>
          <w:tcPr>
            <w:tcW w:w="1795" w:type="dxa"/>
            <w:shd w:val="clear" w:color="auto" w:fill="auto"/>
          </w:tcPr>
          <w:p w14:paraId="443BE804" w14:textId="4CE42E34" w:rsidR="00991800" w:rsidRPr="007D6BED" w:rsidRDefault="00991800" w:rsidP="00BC385C">
            <w:pPr>
              <w:tabs>
                <w:tab w:val="left" w:pos="4200"/>
              </w:tabs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</w:t>
            </w:r>
            <w:r w:rsidR="00613A96">
              <w:rPr>
                <w:b/>
                <w:sz w:val="22"/>
                <w:szCs w:val="22"/>
              </w:rPr>
              <w:t>filiere</w:t>
            </w:r>
            <w:proofErr w:type="spellEnd"/>
            <w:r w:rsidR="00613A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10" w:type="dxa"/>
            <w:shd w:val="clear" w:color="auto" w:fill="auto"/>
          </w:tcPr>
          <w:p w14:paraId="4940B54C" w14:textId="77777777" w:rsidR="00991800" w:rsidRPr="007D6BED" w:rsidRDefault="00991800" w:rsidP="00BC385C">
            <w:pPr>
              <w:tabs>
                <w:tab w:val="left" w:pos="420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de-DE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Institution, </w:t>
            </w:r>
            <w:r w:rsidRPr="007D6BED">
              <w:rPr>
                <w:color w:val="222222"/>
                <w:sz w:val="22"/>
                <w:szCs w:val="22"/>
                <w:shd w:val="clear" w:color="auto" w:fill="FFFFFF"/>
              </w:rPr>
              <w:t>Road, No., City, postal code, phone, fax, website, institutional e-mail</w:t>
            </w:r>
          </w:p>
        </w:tc>
      </w:tr>
    </w:tbl>
    <w:p w14:paraId="61E1E281" w14:textId="77777777" w:rsidR="00991800" w:rsidRDefault="00991800" w:rsidP="00991800">
      <w:pPr>
        <w:tabs>
          <w:tab w:val="left" w:pos="6840"/>
        </w:tabs>
        <w:rPr>
          <w:rFonts w:ascii="Bookman Old Style" w:hAnsi="Bookman Old Style"/>
          <w:b/>
          <w:sz w:val="22"/>
          <w:szCs w:val="22"/>
        </w:rPr>
      </w:pPr>
    </w:p>
    <w:p w14:paraId="31BB6BD8" w14:textId="77777777" w:rsidR="00991800" w:rsidRPr="00ED6D36" w:rsidRDefault="00991800" w:rsidP="00991800">
      <w:pPr>
        <w:ind w:firstLine="540"/>
        <w:jc w:val="both"/>
        <w:rPr>
          <w:sz w:val="22"/>
          <w:szCs w:val="22"/>
        </w:rPr>
      </w:pPr>
      <w:r w:rsidRPr="00ED6D36">
        <w:rPr>
          <w:sz w:val="22"/>
          <w:szCs w:val="22"/>
        </w:rPr>
        <w:t>Text, text, text, text, text</w:t>
      </w:r>
      <w:r w:rsidRPr="00ED6D36">
        <w:rPr>
          <w:rStyle w:val="FootnoteReference"/>
          <w:rFonts w:eastAsiaTheme="majorEastAsia"/>
          <w:sz w:val="22"/>
          <w:szCs w:val="22"/>
        </w:rPr>
        <w:footnoteReference w:id="1"/>
      </w:r>
      <w:r w:rsidRPr="00ED6D36">
        <w:rPr>
          <w:sz w:val="22"/>
          <w:szCs w:val="22"/>
        </w:rPr>
        <w:t>, text, text, text, text</w:t>
      </w:r>
      <w:r>
        <w:rPr>
          <w:rStyle w:val="FootnoteReference"/>
          <w:rFonts w:eastAsiaTheme="majorEastAsia"/>
          <w:sz w:val="22"/>
          <w:szCs w:val="22"/>
        </w:rPr>
        <w:footnoteReference w:id="2"/>
      </w:r>
      <w:r w:rsidRPr="00ED6D36">
        <w:rPr>
          <w:sz w:val="22"/>
          <w:szCs w:val="22"/>
        </w:rPr>
        <w:t>, text, text, text, text, text, text, text , text, text, text, text, text, text</w:t>
      </w:r>
      <w:r>
        <w:rPr>
          <w:rStyle w:val="FootnoteReference"/>
          <w:rFonts w:eastAsiaTheme="majorEastAsia"/>
          <w:sz w:val="22"/>
          <w:szCs w:val="22"/>
        </w:rPr>
        <w:footnoteReference w:id="3"/>
      </w:r>
      <w:r w:rsidRPr="00ED6D36">
        <w:rPr>
          <w:sz w:val="22"/>
          <w:szCs w:val="22"/>
        </w:rPr>
        <w:t>, text, text, text, text, text</w:t>
      </w:r>
      <w:r>
        <w:rPr>
          <w:rStyle w:val="FootnoteReference"/>
          <w:rFonts w:eastAsiaTheme="majorEastAsia"/>
          <w:sz w:val="22"/>
          <w:szCs w:val="22"/>
        </w:rPr>
        <w:footnoteReference w:id="4"/>
      </w:r>
      <w:r w:rsidRPr="00ED6D36">
        <w:rPr>
          <w:sz w:val="22"/>
          <w:szCs w:val="22"/>
        </w:rPr>
        <w:t>, text, text, text, text., text, text, text, text, text, text, text, text, text, text, text, text, text, text, text., text, text, text, text, text, text, text, text, text, text, text</w:t>
      </w:r>
      <w:r>
        <w:rPr>
          <w:rStyle w:val="FootnoteReference"/>
          <w:rFonts w:eastAsiaTheme="majorEastAsia"/>
          <w:sz w:val="22"/>
          <w:szCs w:val="22"/>
        </w:rPr>
        <w:footnoteReference w:id="5"/>
      </w:r>
      <w:r w:rsidRPr="00ED6D36">
        <w:rPr>
          <w:sz w:val="22"/>
          <w:szCs w:val="22"/>
        </w:rPr>
        <w:t>, text, text, text, text., text, text, text, text, text, text, text, text, text, text, text, text, text, text</w:t>
      </w:r>
      <w:r>
        <w:rPr>
          <w:rStyle w:val="FootnoteReference"/>
          <w:rFonts w:eastAsiaTheme="majorEastAsia"/>
          <w:sz w:val="22"/>
          <w:szCs w:val="22"/>
        </w:rPr>
        <w:footnoteReference w:id="6"/>
      </w:r>
      <w:r w:rsidRPr="00ED6D36">
        <w:rPr>
          <w:sz w:val="22"/>
          <w:szCs w:val="22"/>
        </w:rPr>
        <w:t>, text., text, text, text, text, text, text, text, text, text, text, text</w:t>
      </w:r>
      <w:r>
        <w:rPr>
          <w:rStyle w:val="FootnoteReference"/>
          <w:rFonts w:eastAsiaTheme="majorEastAsia"/>
          <w:sz w:val="22"/>
          <w:szCs w:val="22"/>
        </w:rPr>
        <w:footnoteReference w:id="7"/>
      </w:r>
      <w:r w:rsidRPr="00ED6D36">
        <w:rPr>
          <w:sz w:val="22"/>
          <w:szCs w:val="22"/>
        </w:rPr>
        <w:t>, text, text, text, text., text, text, text, text, text, text, text, text, text, text, text, text, text, text, text.</w:t>
      </w:r>
    </w:p>
    <w:p w14:paraId="7E251668" w14:textId="77777777" w:rsidR="00991800" w:rsidRPr="00F63C18" w:rsidRDefault="00991800" w:rsidP="00991800">
      <w:pPr>
        <w:ind w:firstLine="540"/>
        <w:jc w:val="both"/>
        <w:rPr>
          <w:sz w:val="22"/>
          <w:szCs w:val="22"/>
        </w:rPr>
      </w:pPr>
    </w:p>
    <w:p w14:paraId="6FD984EC" w14:textId="77777777" w:rsidR="00991800" w:rsidRPr="00E50689" w:rsidRDefault="00991800" w:rsidP="00991800">
      <w:pPr>
        <w:ind w:firstLine="540"/>
        <w:jc w:val="both"/>
        <w:rPr>
          <w:sz w:val="22"/>
          <w:szCs w:val="22"/>
        </w:rPr>
      </w:pPr>
    </w:p>
    <w:p w14:paraId="06CD365E" w14:textId="71C50223" w:rsidR="00991800" w:rsidRPr="00845E40" w:rsidRDefault="00991800" w:rsidP="00991800">
      <w:pPr>
        <w:ind w:right="41"/>
        <w:jc w:val="center"/>
        <w:rPr>
          <w:b/>
          <w:bCs/>
          <w:sz w:val="22"/>
          <w:szCs w:val="22"/>
          <w:shd w:val="clear" w:color="auto" w:fill="FFFFFF"/>
          <w:lang w:val="ro-RO"/>
        </w:rPr>
      </w:pPr>
      <w:r w:rsidRPr="00845E40">
        <w:rPr>
          <w:b/>
          <w:bCs/>
          <w:sz w:val="22"/>
          <w:szCs w:val="22"/>
          <w:shd w:val="clear" w:color="auto" w:fill="FFFFFF"/>
          <w:lang w:val="ro-RO"/>
        </w:rPr>
        <w:t>Bibliogra</w:t>
      </w:r>
      <w:r w:rsidR="00613A96">
        <w:rPr>
          <w:b/>
          <w:bCs/>
          <w:sz w:val="22"/>
          <w:szCs w:val="22"/>
          <w:shd w:val="clear" w:color="auto" w:fill="FFFFFF"/>
          <w:lang w:val="ro-RO"/>
        </w:rPr>
        <w:t>fie</w:t>
      </w:r>
    </w:p>
    <w:p w14:paraId="09AB6588" w14:textId="77777777" w:rsidR="00991800" w:rsidRPr="00845E40" w:rsidRDefault="00991800" w:rsidP="00991800">
      <w:pPr>
        <w:ind w:right="41"/>
        <w:jc w:val="both"/>
        <w:rPr>
          <w:b/>
          <w:bCs/>
          <w:sz w:val="22"/>
          <w:szCs w:val="22"/>
          <w:shd w:val="clear" w:color="auto" w:fill="FFFFFF"/>
          <w:lang w:val="ro-RO"/>
        </w:rPr>
      </w:pPr>
    </w:p>
    <w:p w14:paraId="0F62BA6C" w14:textId="4E4CD36C" w:rsidR="00991800" w:rsidRPr="00845E40" w:rsidRDefault="00613A96" w:rsidP="00991800">
      <w:pPr>
        <w:pStyle w:val="FootnoteText"/>
        <w:jc w:val="both"/>
        <w:rPr>
          <w:rFonts w:ascii="Times New Roman" w:hAnsi="Times New Roman"/>
          <w:b/>
          <w:i/>
          <w:sz w:val="22"/>
          <w:szCs w:val="22"/>
          <w:lang w:val="ro-RO"/>
        </w:rPr>
      </w:pPr>
      <w:r>
        <w:rPr>
          <w:rFonts w:ascii="Times New Roman" w:hAnsi="Times New Roman"/>
          <w:b/>
          <w:i/>
          <w:sz w:val="22"/>
          <w:szCs w:val="22"/>
          <w:lang w:val="ro-RO"/>
        </w:rPr>
        <w:t>Volume</w:t>
      </w:r>
      <w:r w:rsidR="00991800" w:rsidRPr="00845E40">
        <w:rPr>
          <w:rFonts w:ascii="Times New Roman" w:hAnsi="Times New Roman"/>
          <w:b/>
          <w:i/>
          <w:sz w:val="22"/>
          <w:szCs w:val="22"/>
          <w:lang w:val="ro-RO"/>
        </w:rPr>
        <w:t xml:space="preserve"> </w:t>
      </w:r>
    </w:p>
    <w:p w14:paraId="7C027C0B" w14:textId="4FA44239" w:rsidR="00991800" w:rsidRPr="00845E40" w:rsidRDefault="00991800" w:rsidP="00936EE7">
      <w:pPr>
        <w:numPr>
          <w:ilvl w:val="0"/>
          <w:numId w:val="2"/>
        </w:numPr>
        <w:tabs>
          <w:tab w:val="left" w:pos="360"/>
        </w:tabs>
        <w:ind w:left="360"/>
        <w:rPr>
          <w:b/>
          <w:sz w:val="22"/>
          <w:szCs w:val="22"/>
        </w:rPr>
      </w:pPr>
      <w:r w:rsidRPr="00845E40">
        <w:rPr>
          <w:sz w:val="22"/>
          <w:szCs w:val="22"/>
        </w:rPr>
        <w:t>Steve D. Geary</w:t>
      </w:r>
      <w:r w:rsidR="00613A96">
        <w:rPr>
          <w:sz w:val="22"/>
          <w:szCs w:val="22"/>
        </w:rPr>
        <w:t>,</w:t>
      </w:r>
      <w:r w:rsidRPr="00845E40">
        <w:rPr>
          <w:sz w:val="22"/>
          <w:szCs w:val="22"/>
        </w:rPr>
        <w:t xml:space="preserve"> Ken B. </w:t>
      </w:r>
      <w:proofErr w:type="spellStart"/>
      <w:r w:rsidRPr="00845E40">
        <w:rPr>
          <w:sz w:val="22"/>
          <w:szCs w:val="22"/>
        </w:rPr>
        <w:t>Vitasek</w:t>
      </w:r>
      <w:proofErr w:type="spellEnd"/>
      <w:r w:rsidRPr="00845E40">
        <w:rPr>
          <w:sz w:val="22"/>
          <w:szCs w:val="22"/>
        </w:rPr>
        <w:t xml:space="preserve">, </w:t>
      </w:r>
      <w:r w:rsidRPr="00845E40">
        <w:rPr>
          <w:i/>
          <w:iCs/>
          <w:sz w:val="22"/>
          <w:szCs w:val="22"/>
        </w:rPr>
        <w:t xml:space="preserve">The Critical Writings of EA Poe </w:t>
      </w:r>
      <w:r w:rsidRPr="00845E40">
        <w:rPr>
          <w:sz w:val="22"/>
          <w:szCs w:val="22"/>
        </w:rPr>
        <w:t>(Bellevue: Prescott, 2008).</w:t>
      </w:r>
    </w:p>
    <w:p w14:paraId="065DB9FF" w14:textId="77777777" w:rsidR="00991800" w:rsidRPr="00845E40" w:rsidRDefault="00991800" w:rsidP="00991800">
      <w:pPr>
        <w:tabs>
          <w:tab w:val="left" w:pos="6840"/>
        </w:tabs>
        <w:rPr>
          <w:b/>
          <w:i/>
          <w:sz w:val="22"/>
          <w:szCs w:val="22"/>
        </w:rPr>
      </w:pPr>
    </w:p>
    <w:p w14:paraId="54B512D3" w14:textId="2E436EE8" w:rsidR="00991800" w:rsidRPr="00845E40" w:rsidRDefault="00613A96" w:rsidP="00991800">
      <w:pPr>
        <w:tabs>
          <w:tab w:val="left" w:pos="6840"/>
        </w:tabs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Capitole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în</w:t>
      </w:r>
      <w:proofErr w:type="spellEnd"/>
      <w:r>
        <w:rPr>
          <w:b/>
          <w:bCs/>
          <w:i/>
          <w:iCs/>
          <w:sz w:val="22"/>
          <w:szCs w:val="22"/>
        </w:rPr>
        <w:t xml:space="preserve"> volume</w:t>
      </w:r>
    </w:p>
    <w:p w14:paraId="41A0026B" w14:textId="77777777" w:rsidR="00991800" w:rsidRPr="00845E40" w:rsidRDefault="00991800" w:rsidP="00991800">
      <w:pPr>
        <w:pStyle w:val="Footnote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845E40">
        <w:rPr>
          <w:rFonts w:ascii="Times New Roman" w:hAnsi="Times New Roman"/>
          <w:sz w:val="22"/>
          <w:szCs w:val="22"/>
        </w:rPr>
        <w:t xml:space="preserve">Timothy Barnwell, “Fragmented Identities: Otherness and Authority in Adam of Bremen's History of the Archbishops of Hamburg-Bremen”, in Clemens Gantner et al. (eds.), </w:t>
      </w:r>
      <w:r w:rsidRPr="00845E40">
        <w:rPr>
          <w:rFonts w:ascii="Times New Roman" w:hAnsi="Times New Roman"/>
          <w:i/>
          <w:iCs/>
          <w:sz w:val="22"/>
          <w:szCs w:val="22"/>
        </w:rPr>
        <w:t xml:space="preserve">The Resources of the Past in Early Medieval Europe </w:t>
      </w:r>
      <w:r w:rsidRPr="00845E40">
        <w:rPr>
          <w:rFonts w:ascii="Times New Roman" w:hAnsi="Times New Roman"/>
          <w:sz w:val="22"/>
          <w:szCs w:val="22"/>
        </w:rPr>
        <w:t>(Cambridge: Cambridge University Press, 2015), 139-55.</w:t>
      </w:r>
    </w:p>
    <w:p w14:paraId="32898D93" w14:textId="77777777" w:rsidR="00991800" w:rsidRPr="00845E40" w:rsidRDefault="00991800" w:rsidP="00991800">
      <w:pPr>
        <w:pStyle w:val="FootnoteText"/>
        <w:jc w:val="both"/>
        <w:rPr>
          <w:rFonts w:ascii="Times New Roman" w:hAnsi="Times New Roman"/>
          <w:sz w:val="22"/>
          <w:szCs w:val="22"/>
        </w:rPr>
      </w:pPr>
    </w:p>
    <w:p w14:paraId="62091DE9" w14:textId="7E222034" w:rsidR="00991800" w:rsidRPr="00845E40" w:rsidRDefault="00613A96" w:rsidP="00991800">
      <w:pPr>
        <w:pStyle w:val="FootnoteTex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Articole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jurnale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tipărite</w:t>
      </w:r>
      <w:proofErr w:type="spellEnd"/>
    </w:p>
    <w:p w14:paraId="12CD67DD" w14:textId="65D7C7C4" w:rsidR="00991800" w:rsidRPr="00845E40" w:rsidRDefault="00991800" w:rsidP="00991800">
      <w:pPr>
        <w:pStyle w:val="FootnoteText"/>
        <w:numPr>
          <w:ilvl w:val="0"/>
          <w:numId w:val="3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845E40">
        <w:rPr>
          <w:rFonts w:ascii="Times New Roman" w:hAnsi="Times New Roman"/>
          <w:sz w:val="22"/>
          <w:szCs w:val="22"/>
        </w:rPr>
        <w:t>Greg C. Bischoff, Stan Martens</w:t>
      </w:r>
      <w:r w:rsidR="00613A96">
        <w:rPr>
          <w:rFonts w:ascii="Times New Roman" w:hAnsi="Times New Roman"/>
          <w:sz w:val="22"/>
          <w:szCs w:val="22"/>
        </w:rPr>
        <w:t>,</w:t>
      </w:r>
      <w:r w:rsidRPr="00845E40">
        <w:rPr>
          <w:rFonts w:ascii="Times New Roman" w:hAnsi="Times New Roman"/>
          <w:sz w:val="22"/>
          <w:szCs w:val="22"/>
        </w:rPr>
        <w:t xml:space="preserve"> Will Grimm, “Letters of Edgar Allen Poe,” </w:t>
      </w:r>
      <w:r w:rsidRPr="00845E40">
        <w:rPr>
          <w:rFonts w:ascii="Times New Roman" w:hAnsi="Times New Roman"/>
          <w:i/>
          <w:iCs/>
          <w:sz w:val="22"/>
          <w:szCs w:val="22"/>
        </w:rPr>
        <w:t xml:space="preserve">Contemporary Texts </w:t>
      </w:r>
      <w:r w:rsidRPr="00845E40">
        <w:rPr>
          <w:rFonts w:ascii="Times New Roman" w:hAnsi="Times New Roman"/>
          <w:sz w:val="22"/>
          <w:szCs w:val="22"/>
        </w:rPr>
        <w:t>14 (3) (2009): 232–50.</w:t>
      </w:r>
    </w:p>
    <w:p w14:paraId="6D163232" w14:textId="77777777" w:rsidR="00991800" w:rsidRPr="00845E40" w:rsidRDefault="00991800" w:rsidP="00991800">
      <w:pPr>
        <w:ind w:right="41"/>
        <w:jc w:val="both"/>
        <w:rPr>
          <w:b/>
          <w:bCs/>
          <w:sz w:val="22"/>
          <w:szCs w:val="22"/>
          <w:shd w:val="clear" w:color="auto" w:fill="FFFFFF"/>
          <w:lang w:val="ro-RO"/>
        </w:rPr>
      </w:pPr>
    </w:p>
    <w:p w14:paraId="079088C0" w14:textId="59BC86C0" w:rsidR="00991800" w:rsidRPr="00845E40" w:rsidRDefault="00613A96" w:rsidP="00991800">
      <w:pPr>
        <w:pStyle w:val="FootnoteText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Articole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</w:rPr>
        <w:t>jurnale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online</w:t>
      </w:r>
    </w:p>
    <w:p w14:paraId="4EDAE678" w14:textId="77777777" w:rsidR="00991800" w:rsidRPr="00845E40" w:rsidRDefault="00991800" w:rsidP="00991800">
      <w:pPr>
        <w:numPr>
          <w:ilvl w:val="0"/>
          <w:numId w:val="4"/>
        </w:numPr>
        <w:ind w:left="360" w:right="41"/>
        <w:jc w:val="both"/>
        <w:rPr>
          <w:b/>
          <w:bCs/>
          <w:sz w:val="22"/>
          <w:szCs w:val="22"/>
          <w:shd w:val="clear" w:color="auto" w:fill="FFFFFF"/>
          <w:lang w:val="ro-RO"/>
        </w:rPr>
      </w:pPr>
      <w:r w:rsidRPr="00845E40">
        <w:rPr>
          <w:sz w:val="22"/>
          <w:szCs w:val="22"/>
        </w:rPr>
        <w:t xml:space="preserve">Alexios G. C. Savvides, “Late Medieval Central Greece in Turmoil: Thessaly, Thirteenth to Fifteenth Centuries C.E.”, </w:t>
      </w:r>
      <w:proofErr w:type="spellStart"/>
      <w:r w:rsidRPr="00845E40">
        <w:rPr>
          <w:i/>
          <w:iCs/>
          <w:sz w:val="22"/>
          <w:szCs w:val="22"/>
        </w:rPr>
        <w:t>Hiperboreea</w:t>
      </w:r>
      <w:proofErr w:type="spellEnd"/>
      <w:r w:rsidRPr="00845E40">
        <w:rPr>
          <w:i/>
          <w:iCs/>
          <w:sz w:val="22"/>
          <w:szCs w:val="22"/>
        </w:rPr>
        <w:t xml:space="preserve"> </w:t>
      </w:r>
      <w:r w:rsidRPr="00845E40">
        <w:rPr>
          <w:sz w:val="22"/>
          <w:szCs w:val="22"/>
        </w:rPr>
        <w:t xml:space="preserve">10 (2) (2023): 137–57, </w:t>
      </w:r>
      <w:hyperlink r:id="rId7" w:history="1">
        <w:r w:rsidRPr="00845E40">
          <w:rPr>
            <w:rStyle w:val="Hyperlink"/>
            <w:rFonts w:eastAsiaTheme="majorEastAsia"/>
            <w:sz w:val="22"/>
            <w:szCs w:val="22"/>
          </w:rPr>
          <w:t>https://doi.org/10.5325/hiperboreea.10.2.0137</w:t>
        </w:r>
      </w:hyperlink>
    </w:p>
    <w:p w14:paraId="3EC876B1" w14:textId="77777777" w:rsidR="00991800" w:rsidRPr="00845E40" w:rsidRDefault="00991800" w:rsidP="00991800">
      <w:pPr>
        <w:ind w:right="41"/>
        <w:jc w:val="both"/>
        <w:rPr>
          <w:sz w:val="22"/>
          <w:szCs w:val="22"/>
        </w:rPr>
      </w:pPr>
    </w:p>
    <w:p w14:paraId="2B7E29C3" w14:textId="504E4F5C" w:rsidR="00991800" w:rsidRPr="00845E40" w:rsidRDefault="00613A96" w:rsidP="00991800">
      <w:pPr>
        <w:ind w:right="41"/>
        <w:jc w:val="both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Articole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în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ziare</w:t>
      </w:r>
      <w:proofErr w:type="spellEnd"/>
    </w:p>
    <w:p w14:paraId="2214DFEE" w14:textId="77777777" w:rsidR="00991800" w:rsidRPr="00845E40" w:rsidRDefault="00991800" w:rsidP="00991800">
      <w:pPr>
        <w:numPr>
          <w:ilvl w:val="0"/>
          <w:numId w:val="5"/>
        </w:numPr>
        <w:tabs>
          <w:tab w:val="left" w:pos="360"/>
        </w:tabs>
        <w:ind w:left="360" w:right="41" w:hanging="270"/>
        <w:jc w:val="both"/>
        <w:rPr>
          <w:b/>
          <w:bCs/>
          <w:sz w:val="22"/>
          <w:szCs w:val="22"/>
          <w:shd w:val="clear" w:color="auto" w:fill="FFFFFF"/>
          <w:lang w:val="ro-RO"/>
        </w:rPr>
      </w:pPr>
      <w:r w:rsidRPr="00845E40">
        <w:rPr>
          <w:sz w:val="22"/>
          <w:szCs w:val="22"/>
        </w:rPr>
        <w:t xml:space="preserve">Frank Cumming (1999). ‘Tax-Free Savings Push’, </w:t>
      </w:r>
      <w:r w:rsidRPr="00845E40">
        <w:rPr>
          <w:i/>
          <w:iCs/>
          <w:sz w:val="22"/>
          <w:szCs w:val="22"/>
        </w:rPr>
        <w:t>Sunday Mail</w:t>
      </w:r>
      <w:r w:rsidRPr="00845E40">
        <w:rPr>
          <w:sz w:val="22"/>
          <w:szCs w:val="22"/>
        </w:rPr>
        <w:t>, 4 April.</w:t>
      </w:r>
    </w:p>
    <w:p w14:paraId="797FE826" w14:textId="77777777" w:rsidR="00011AC8" w:rsidRDefault="00011AC8"/>
    <w:sectPr w:rsidR="00011AC8" w:rsidSect="0018383E">
      <w:footerReference w:type="even" r:id="rId8"/>
      <w:footerReference w:type="default" r:id="rId9"/>
      <w:footnotePr>
        <w:numRestart w:val="eachPage"/>
      </w:footnotePr>
      <w:pgSz w:w="11906" w:h="16838" w:code="9"/>
      <w:pgMar w:top="864" w:right="864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A22D" w14:textId="77777777" w:rsidR="00742DD8" w:rsidRDefault="00742DD8" w:rsidP="00991800">
      <w:r>
        <w:separator/>
      </w:r>
    </w:p>
  </w:endnote>
  <w:endnote w:type="continuationSeparator" w:id="0">
    <w:p w14:paraId="082F8600" w14:textId="77777777" w:rsidR="00742DD8" w:rsidRDefault="00742DD8" w:rsidP="0099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CB05" w14:textId="77777777" w:rsidR="00991800" w:rsidRDefault="00991800" w:rsidP="00ED6D36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33B41CE" w14:textId="77777777" w:rsidR="00991800" w:rsidRDefault="00991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0821" w14:textId="77777777" w:rsidR="00991800" w:rsidRPr="00BF658C" w:rsidRDefault="00991800" w:rsidP="00ED6D36">
    <w:pPr>
      <w:pStyle w:val="Footer"/>
      <w:framePr w:w="358" w:wrap="around" w:vAnchor="text" w:hAnchor="margin" w:xAlign="center" w:y="7"/>
      <w:rPr>
        <w:rStyle w:val="PageNumber"/>
        <w:rFonts w:ascii="Bookman Old Style" w:eastAsiaTheme="majorEastAsia" w:hAnsi="Bookman Old Style"/>
        <w:i/>
        <w:sz w:val="22"/>
        <w:szCs w:val="22"/>
      </w:rPr>
    </w:pPr>
    <w:r w:rsidRPr="00BF658C">
      <w:rPr>
        <w:rStyle w:val="PageNumber"/>
        <w:rFonts w:ascii="Bookman Old Style" w:eastAsiaTheme="majorEastAsia" w:hAnsi="Bookman Old Style"/>
        <w:i/>
        <w:sz w:val="22"/>
        <w:szCs w:val="22"/>
      </w:rPr>
      <w:fldChar w:fldCharType="begin"/>
    </w:r>
    <w:r w:rsidRPr="00BF658C">
      <w:rPr>
        <w:rStyle w:val="PageNumber"/>
        <w:rFonts w:ascii="Bookman Old Style" w:eastAsiaTheme="majorEastAsia" w:hAnsi="Bookman Old Style"/>
        <w:i/>
        <w:sz w:val="22"/>
        <w:szCs w:val="22"/>
      </w:rPr>
      <w:instrText xml:space="preserve">PAGE  </w:instrText>
    </w:r>
    <w:r w:rsidRPr="00BF658C">
      <w:rPr>
        <w:rStyle w:val="PageNumber"/>
        <w:rFonts w:ascii="Bookman Old Style" w:eastAsiaTheme="majorEastAsia" w:hAnsi="Bookman Old Style"/>
        <w:i/>
        <w:sz w:val="22"/>
        <w:szCs w:val="22"/>
      </w:rPr>
      <w:fldChar w:fldCharType="separate"/>
    </w:r>
    <w:r>
      <w:rPr>
        <w:rStyle w:val="PageNumber"/>
        <w:rFonts w:ascii="Bookman Old Style" w:eastAsiaTheme="majorEastAsia" w:hAnsi="Bookman Old Style"/>
        <w:i/>
        <w:sz w:val="22"/>
        <w:szCs w:val="22"/>
      </w:rPr>
      <w:t>2</w:t>
    </w:r>
    <w:r w:rsidRPr="00BF658C">
      <w:rPr>
        <w:rStyle w:val="PageNumber"/>
        <w:rFonts w:ascii="Bookman Old Style" w:eastAsiaTheme="majorEastAsia" w:hAnsi="Bookman Old Style"/>
        <w:i/>
        <w:sz w:val="22"/>
        <w:szCs w:val="22"/>
      </w:rPr>
      <w:fldChar w:fldCharType="end"/>
    </w:r>
  </w:p>
  <w:p w14:paraId="4825C00A" w14:textId="77777777" w:rsidR="00991800" w:rsidRDefault="0099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3179" w14:textId="77777777" w:rsidR="00742DD8" w:rsidRDefault="00742DD8" w:rsidP="00991800">
      <w:r>
        <w:separator/>
      </w:r>
    </w:p>
  </w:footnote>
  <w:footnote w:type="continuationSeparator" w:id="0">
    <w:p w14:paraId="78CB1862" w14:textId="77777777" w:rsidR="00742DD8" w:rsidRDefault="00742DD8" w:rsidP="00991800">
      <w:r>
        <w:continuationSeparator/>
      </w:r>
    </w:p>
  </w:footnote>
  <w:footnote w:id="1">
    <w:p w14:paraId="15DF68E2" w14:textId="77777777" w:rsidR="00991800" w:rsidRPr="00845E40" w:rsidRDefault="00991800" w:rsidP="00991800">
      <w:pPr>
        <w:pStyle w:val="FootnoteText"/>
        <w:jc w:val="both"/>
        <w:rPr>
          <w:rFonts w:ascii="Times New Roman" w:hAnsi="Times New Roman"/>
          <w:lang w:val="ro-RO"/>
        </w:rPr>
      </w:pPr>
      <w:r w:rsidRPr="00845E40">
        <w:rPr>
          <w:rStyle w:val="FootnoteReference"/>
          <w:rFonts w:ascii="Times New Roman" w:hAnsi="Times New Roman"/>
        </w:rPr>
        <w:footnoteRef/>
      </w:r>
      <w:r w:rsidRPr="00845E40">
        <w:rPr>
          <w:rFonts w:ascii="Times New Roman" w:hAnsi="Times New Roman"/>
        </w:rPr>
        <w:t xml:space="preserve"> Steve D. Geary and Ken B. </w:t>
      </w:r>
      <w:proofErr w:type="spellStart"/>
      <w:r w:rsidRPr="00845E40">
        <w:rPr>
          <w:rFonts w:ascii="Times New Roman" w:hAnsi="Times New Roman"/>
        </w:rPr>
        <w:t>Vitasek</w:t>
      </w:r>
      <w:proofErr w:type="spellEnd"/>
      <w:r w:rsidRPr="00845E40">
        <w:rPr>
          <w:rFonts w:ascii="Times New Roman" w:hAnsi="Times New Roman"/>
        </w:rPr>
        <w:t xml:space="preserve">, </w:t>
      </w:r>
      <w:r w:rsidRPr="00845E40">
        <w:rPr>
          <w:rFonts w:ascii="Times New Roman" w:hAnsi="Times New Roman"/>
          <w:i/>
          <w:iCs/>
        </w:rPr>
        <w:t xml:space="preserve">The Critical Writings of EA Poe </w:t>
      </w:r>
      <w:r w:rsidRPr="00845E40">
        <w:rPr>
          <w:rFonts w:ascii="Times New Roman" w:hAnsi="Times New Roman"/>
        </w:rPr>
        <w:t>(Bellevue: Prescott, 2008), 52.</w:t>
      </w:r>
    </w:p>
  </w:footnote>
  <w:footnote w:id="2">
    <w:p w14:paraId="36C75B27" w14:textId="77777777" w:rsidR="00991800" w:rsidRPr="00845E40" w:rsidRDefault="00991800" w:rsidP="00991800">
      <w:pPr>
        <w:pStyle w:val="FootnoteText"/>
        <w:jc w:val="both"/>
        <w:rPr>
          <w:rFonts w:ascii="Times New Roman" w:hAnsi="Times New Roman"/>
          <w:lang w:val="ro-RO"/>
        </w:rPr>
      </w:pPr>
      <w:r w:rsidRPr="00845E40">
        <w:rPr>
          <w:rStyle w:val="FootnoteReference"/>
          <w:rFonts w:ascii="Times New Roman" w:hAnsi="Times New Roman"/>
        </w:rPr>
        <w:footnoteRef/>
      </w:r>
      <w:r w:rsidRPr="00845E40">
        <w:rPr>
          <w:rFonts w:ascii="Times New Roman" w:hAnsi="Times New Roman"/>
        </w:rPr>
        <w:t xml:space="preserve"> Timothy Barnwell, “Fragmented Identities: Otherness and Authority in Adam of Bremen's History of the Archbishops of Hamburg-Bremen”, in Clemens Gantner et al. (eds.), </w:t>
      </w:r>
      <w:r w:rsidRPr="00845E40">
        <w:rPr>
          <w:rFonts w:ascii="Times New Roman" w:hAnsi="Times New Roman"/>
          <w:i/>
          <w:iCs/>
        </w:rPr>
        <w:t xml:space="preserve">The Resources of the Past in Early Medieval Europe </w:t>
      </w:r>
      <w:r w:rsidRPr="00845E40">
        <w:rPr>
          <w:rFonts w:ascii="Times New Roman" w:hAnsi="Times New Roman"/>
        </w:rPr>
        <w:t>(Cambridge: Cambridge University Press, 2015), 139-55.</w:t>
      </w:r>
    </w:p>
  </w:footnote>
  <w:footnote w:id="3">
    <w:p w14:paraId="1900B1B9" w14:textId="77777777" w:rsidR="00991800" w:rsidRPr="00845E40" w:rsidRDefault="00991800" w:rsidP="00991800">
      <w:pPr>
        <w:pStyle w:val="FootnoteText"/>
        <w:jc w:val="both"/>
        <w:rPr>
          <w:rFonts w:ascii="Times New Roman" w:hAnsi="Times New Roman"/>
        </w:rPr>
      </w:pPr>
      <w:r w:rsidRPr="00845E40">
        <w:rPr>
          <w:rStyle w:val="FootnoteReference"/>
          <w:rFonts w:ascii="Times New Roman" w:hAnsi="Times New Roman"/>
        </w:rPr>
        <w:footnoteRef/>
      </w:r>
      <w:r w:rsidRPr="00845E40">
        <w:rPr>
          <w:rFonts w:ascii="Times New Roman" w:hAnsi="Times New Roman"/>
        </w:rPr>
        <w:t xml:space="preserve"> Greg C. Bischoff, Stan Martens and Will Grimm, “Letters of Edgar Allen Poe,” </w:t>
      </w:r>
      <w:r w:rsidRPr="00845E40">
        <w:rPr>
          <w:rFonts w:ascii="Times New Roman" w:hAnsi="Times New Roman"/>
          <w:i/>
          <w:iCs/>
        </w:rPr>
        <w:t xml:space="preserve">Contemporary Texts </w:t>
      </w:r>
      <w:r w:rsidRPr="00845E40">
        <w:rPr>
          <w:rFonts w:ascii="Times New Roman" w:hAnsi="Times New Roman"/>
        </w:rPr>
        <w:t>14 (3) (2009): 232–50.</w:t>
      </w:r>
    </w:p>
  </w:footnote>
  <w:footnote w:id="4">
    <w:p w14:paraId="4AAED5C8" w14:textId="77777777" w:rsidR="00991800" w:rsidRPr="00845E40" w:rsidRDefault="00991800" w:rsidP="00991800">
      <w:pPr>
        <w:pStyle w:val="FootnoteText"/>
        <w:jc w:val="both"/>
        <w:rPr>
          <w:rFonts w:ascii="Times New Roman" w:hAnsi="Times New Roman"/>
          <w:lang w:val="ro-RO"/>
        </w:rPr>
      </w:pPr>
      <w:r w:rsidRPr="00845E40">
        <w:rPr>
          <w:rStyle w:val="FootnoteReference"/>
          <w:rFonts w:ascii="Times New Roman" w:hAnsi="Times New Roman"/>
        </w:rPr>
        <w:footnoteRef/>
      </w:r>
      <w:r w:rsidRPr="00845E40">
        <w:rPr>
          <w:rFonts w:ascii="Times New Roman" w:hAnsi="Times New Roman"/>
        </w:rPr>
        <w:t xml:space="preserve"> Alexios G. C. Savvides, “Late Medieval Central Greece in Turmoil: Thessaly, Thirteenth to Fifteenth Centuries C.E.”, </w:t>
      </w:r>
      <w:proofErr w:type="spellStart"/>
      <w:r w:rsidRPr="00845E40">
        <w:rPr>
          <w:rFonts w:ascii="Times New Roman" w:hAnsi="Times New Roman"/>
          <w:i/>
          <w:iCs/>
        </w:rPr>
        <w:t>Hiperboreea</w:t>
      </w:r>
      <w:proofErr w:type="spellEnd"/>
      <w:r w:rsidRPr="00845E40">
        <w:rPr>
          <w:rFonts w:ascii="Times New Roman" w:hAnsi="Times New Roman"/>
          <w:i/>
          <w:iCs/>
        </w:rPr>
        <w:t xml:space="preserve"> </w:t>
      </w:r>
      <w:r w:rsidRPr="00845E40">
        <w:rPr>
          <w:rFonts w:ascii="Times New Roman" w:hAnsi="Times New Roman"/>
        </w:rPr>
        <w:t>10 (2) (2023): 137–57, https://doi.org/10.5325/hiperboreea.10.2.0137.</w:t>
      </w:r>
    </w:p>
  </w:footnote>
  <w:footnote w:id="5">
    <w:p w14:paraId="304C2FC0" w14:textId="77777777" w:rsidR="00991800" w:rsidRPr="00845E40" w:rsidRDefault="00991800" w:rsidP="00991800">
      <w:pPr>
        <w:pStyle w:val="FootnoteText"/>
        <w:jc w:val="both"/>
        <w:rPr>
          <w:rFonts w:ascii="Times New Roman" w:hAnsi="Times New Roman"/>
          <w:lang w:val="ro-RO"/>
        </w:rPr>
      </w:pPr>
      <w:r w:rsidRPr="00845E40">
        <w:rPr>
          <w:rStyle w:val="FootnoteReference"/>
          <w:rFonts w:ascii="Times New Roman" w:hAnsi="Times New Roman"/>
        </w:rPr>
        <w:footnoteRef/>
      </w:r>
      <w:r w:rsidRPr="00845E40">
        <w:rPr>
          <w:rFonts w:ascii="Times New Roman" w:hAnsi="Times New Roman"/>
        </w:rPr>
        <w:t xml:space="preserve"> Frank Cumming (1999). ‘Tax-Free Savings Push’, </w:t>
      </w:r>
      <w:r w:rsidRPr="00845E40">
        <w:rPr>
          <w:rFonts w:ascii="Times New Roman" w:hAnsi="Times New Roman"/>
          <w:i/>
          <w:iCs/>
        </w:rPr>
        <w:t>Sunday Mail</w:t>
      </w:r>
      <w:r w:rsidRPr="00845E40">
        <w:rPr>
          <w:rFonts w:ascii="Times New Roman" w:hAnsi="Times New Roman"/>
        </w:rPr>
        <w:t>, 4 April, p. 1.</w:t>
      </w:r>
    </w:p>
  </w:footnote>
  <w:footnote w:id="6">
    <w:p w14:paraId="75D0A746" w14:textId="77777777" w:rsidR="00991800" w:rsidRPr="00845E40" w:rsidRDefault="00991800" w:rsidP="009918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5E40">
        <w:rPr>
          <w:rStyle w:val="FootnoteReference"/>
          <w:rFonts w:eastAsiaTheme="majorEastAsia"/>
          <w:sz w:val="20"/>
          <w:szCs w:val="20"/>
        </w:rPr>
        <w:footnoteRef/>
      </w:r>
      <w:r w:rsidRPr="00845E40">
        <w:rPr>
          <w:sz w:val="20"/>
          <w:szCs w:val="20"/>
        </w:rPr>
        <w:t xml:space="preserve"> Bischoff and Martens, “Letters of Poe”, 235.</w:t>
      </w:r>
    </w:p>
  </w:footnote>
  <w:footnote w:id="7">
    <w:p w14:paraId="60AE100E" w14:textId="77777777" w:rsidR="00991800" w:rsidRPr="00845E40" w:rsidRDefault="00991800" w:rsidP="00991800">
      <w:pPr>
        <w:pStyle w:val="FootnoteText"/>
        <w:rPr>
          <w:rFonts w:ascii="Times New Roman" w:hAnsi="Times New Roman"/>
          <w:lang w:val="ro-RO"/>
        </w:rPr>
      </w:pPr>
      <w:r w:rsidRPr="00845E40">
        <w:rPr>
          <w:rStyle w:val="FootnoteReference"/>
          <w:rFonts w:ascii="Times New Roman" w:hAnsi="Times New Roman"/>
        </w:rPr>
        <w:footnoteRef/>
      </w:r>
      <w:r w:rsidRPr="00845E40">
        <w:rPr>
          <w:rFonts w:ascii="Times New Roman" w:hAnsi="Times New Roman"/>
        </w:rPr>
        <w:t xml:space="preserve"> Geary and </w:t>
      </w:r>
      <w:proofErr w:type="spellStart"/>
      <w:r w:rsidRPr="00845E40">
        <w:rPr>
          <w:rFonts w:ascii="Times New Roman" w:hAnsi="Times New Roman"/>
        </w:rPr>
        <w:t>Vitasek</w:t>
      </w:r>
      <w:proofErr w:type="spellEnd"/>
      <w:r w:rsidRPr="00845E40">
        <w:rPr>
          <w:rFonts w:ascii="Times New Roman" w:hAnsi="Times New Roman"/>
        </w:rPr>
        <w:t xml:space="preserve">, </w:t>
      </w:r>
      <w:r w:rsidRPr="00845E40">
        <w:rPr>
          <w:rFonts w:ascii="Times New Roman" w:hAnsi="Times New Roman"/>
          <w:i/>
          <w:iCs/>
        </w:rPr>
        <w:t>The Critical Writings</w:t>
      </w:r>
      <w:r w:rsidRPr="00845E40">
        <w:rPr>
          <w:rFonts w:ascii="Times New Roman" w:hAnsi="Times New Roman"/>
        </w:rPr>
        <w:t>, 52.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4C5"/>
    <w:multiLevelType w:val="hybridMultilevel"/>
    <w:tmpl w:val="17CAE138"/>
    <w:lvl w:ilvl="0" w:tplc="0D06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02A8C"/>
    <w:multiLevelType w:val="hybridMultilevel"/>
    <w:tmpl w:val="D67E6208"/>
    <w:lvl w:ilvl="0" w:tplc="CE4242C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A690A"/>
    <w:multiLevelType w:val="hybridMultilevel"/>
    <w:tmpl w:val="E58A5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D03F69"/>
    <w:multiLevelType w:val="hybridMultilevel"/>
    <w:tmpl w:val="B442E408"/>
    <w:lvl w:ilvl="0" w:tplc="AB28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B149A"/>
    <w:multiLevelType w:val="hybridMultilevel"/>
    <w:tmpl w:val="372022C0"/>
    <w:lvl w:ilvl="0" w:tplc="7B609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911">
    <w:abstractNumId w:val="2"/>
  </w:num>
  <w:num w:numId="2" w16cid:durableId="112798168">
    <w:abstractNumId w:val="0"/>
  </w:num>
  <w:num w:numId="3" w16cid:durableId="659432095">
    <w:abstractNumId w:val="1"/>
  </w:num>
  <w:num w:numId="4" w16cid:durableId="1592663972">
    <w:abstractNumId w:val="3"/>
  </w:num>
  <w:num w:numId="5" w16cid:durableId="832648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G0MLU0Mje2MDA3tLBU0lEKTi0uzszPAykwrAUA4RPW4SwAAAA="/>
  </w:docVars>
  <w:rsids>
    <w:rsidRoot w:val="00991800"/>
    <w:rsid w:val="00011AC8"/>
    <w:rsid w:val="00057464"/>
    <w:rsid w:val="0018383E"/>
    <w:rsid w:val="00283CC5"/>
    <w:rsid w:val="00306317"/>
    <w:rsid w:val="00544245"/>
    <w:rsid w:val="00613A96"/>
    <w:rsid w:val="00742DD8"/>
    <w:rsid w:val="00936EE7"/>
    <w:rsid w:val="00991800"/>
    <w:rsid w:val="00A07CB9"/>
    <w:rsid w:val="00CF3087"/>
    <w:rsid w:val="00E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C998"/>
  <w15:chartTrackingRefBased/>
  <w15:docId w15:val="{69DEF136-ED61-4AFB-BEB3-D32C597B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00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8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8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8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8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80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80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800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800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800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800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800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800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800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91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80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0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9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800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91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800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9180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Char,Footnote Text CharFootnote Reference Char Char Char Char,Footnote Text CharFootnote Reference Char Char Char,Footnote Text CharFootnote Reference Char Char Char Char Char,Footnote Text Char2 Char"/>
    <w:link w:val="FootnoteTextChar"/>
    <w:rsid w:val="00991800"/>
    <w:pPr>
      <w:jc w:val="left"/>
    </w:pPr>
    <w:rPr>
      <w:rFonts w:ascii="Helvetica" w:eastAsia="ヒラギノ角ゴ Pro W3" w:hAnsi="Helvetica" w:cs="Times New Roman"/>
      <w:color w:val="000000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 Char,Footnote Text CharFootnote Reference Char Char Char Char Char1,Footnote Text CharFootnote Reference Char Char Char Char1,Footnote Text CharFootnote Reference Char Char Char Char Char Char,Footnote Text Char2 Char Char"/>
    <w:basedOn w:val="DefaultParagraphFont"/>
    <w:link w:val="FootnoteText"/>
    <w:rsid w:val="00991800"/>
    <w:rPr>
      <w:rFonts w:ascii="Helvetica" w:eastAsia="ヒラギノ角ゴ Pro W3" w:hAnsi="Helvetica" w:cs="Times New Roman"/>
      <w:color w:val="000000"/>
      <w:kern w:val="0"/>
      <w:sz w:val="20"/>
      <w:szCs w:val="20"/>
      <w14:ligatures w14:val="none"/>
    </w:rPr>
  </w:style>
  <w:style w:type="character" w:styleId="FootnoteReference">
    <w:name w:val="footnote reference"/>
    <w:aliases w:val="number,fr,SUPERS, BVI fnr,BVI fnr,Footnote symbol"/>
    <w:unhideWhenUsed/>
    <w:rsid w:val="00991800"/>
    <w:rPr>
      <w:vertAlign w:val="superscript"/>
    </w:rPr>
  </w:style>
  <w:style w:type="paragraph" w:styleId="Footer">
    <w:name w:val="footer"/>
    <w:basedOn w:val="Normal"/>
    <w:link w:val="FooterChar"/>
    <w:rsid w:val="00991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8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991800"/>
  </w:style>
  <w:style w:type="character" w:styleId="Hyperlink">
    <w:name w:val="Hyperlink"/>
    <w:rsid w:val="00991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5325/hiperboreea.10.2.0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STRAUTIU EUGEN</dc:creator>
  <cp:keywords/>
  <dc:description/>
  <cp:lastModifiedBy>STRAUTIU EUGEN</cp:lastModifiedBy>
  <cp:revision>6</cp:revision>
  <dcterms:created xsi:type="dcterms:W3CDTF">2025-06-21T13:25:00Z</dcterms:created>
  <dcterms:modified xsi:type="dcterms:W3CDTF">2025-06-21T13:43:00Z</dcterms:modified>
</cp:coreProperties>
</file>